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F3ACC3" w14:textId="025CDE14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ORDIN Nr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. 6756/2023 din 6 decembrie 2023</w:t>
      </w:r>
    </w:p>
    <w:p w14:paraId="2D3796EC" w14:textId="00E90E1F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pentru aprobarea Metodologiei privind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depășirea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efectivelor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formațiunilor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antepreșcolari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preșcolari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unitățile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</w:t>
      </w:r>
    </w:p>
    <w:p w14:paraId="47DA4E54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4"/>
          <w:szCs w:val="24"/>
        </w:rPr>
      </w:pPr>
    </w:p>
    <w:p w14:paraId="48A5ACA8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>EMITENT:     MINISTERUL EDUCAŢIEI</w:t>
      </w:r>
    </w:p>
    <w:p w14:paraId="16DD8978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>PUBLICAT ÎN: MONITORUL OFICIAL  NR. 1122 din 13 decembrie 2023</w:t>
      </w:r>
    </w:p>
    <w:p w14:paraId="4BEF6B4D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AF45758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Având în vedere:</w:t>
      </w:r>
    </w:p>
    <w:p w14:paraId="4AC793CC" w14:textId="083170A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- prevederile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(6) din Legea 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învățământului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nr. 198/2023, cu modificările ulterioare;</w:t>
      </w:r>
    </w:p>
    <w:p w14:paraId="657DE83A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- Referatul de aprobare nr. 3.064/DGMRURS din 28.09.2023,</w:t>
      </w:r>
    </w:p>
    <w:p w14:paraId="2A42E139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în baza prevederilor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13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(3) din Hotărârea Guvernului nr. 369/2021 privind organizarea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Ministerului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cu modificările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completările ulterioare,</w:t>
      </w:r>
    </w:p>
    <w:p w14:paraId="09622BF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ministrul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educaţiei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emite prezentul ordin.</w:t>
      </w:r>
    </w:p>
    <w:p w14:paraId="163C38E2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F5EED67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1</w:t>
      </w:r>
    </w:p>
    <w:p w14:paraId="17C63DD8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Se aprobă Metodologia privind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depăşirea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efectivelor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antepreşcolari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sau elevi din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stat, prevăzută în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anexa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care face parte integrantă din prezentul ordin.</w:t>
      </w:r>
    </w:p>
    <w:p w14:paraId="2B3F4E8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2</w:t>
      </w:r>
    </w:p>
    <w:p w14:paraId="36B365D5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Direcţia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generală management resurse umane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reţea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şcolară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din cadrul Ministerului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inspectoratele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duc la îndeplinire prevederile prezentului ordin.</w:t>
      </w:r>
    </w:p>
    <w:p w14:paraId="1B567459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3</w:t>
      </w:r>
    </w:p>
    <w:p w14:paraId="5EBA373F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Prezentul ordin se publică în Monitorul Oficial al României, Partea I.</w:t>
      </w:r>
    </w:p>
    <w:p w14:paraId="28E65F94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28ED75A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Ministrul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educaţiei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,</w:t>
      </w:r>
    </w:p>
    <w:p w14:paraId="38C6523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Ligia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Deca</w:t>
      </w:r>
      <w:proofErr w:type="spellEnd"/>
    </w:p>
    <w:p w14:paraId="2B4BFE3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D634FD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, 6 decembrie 2023.</w:t>
      </w:r>
    </w:p>
    <w:p w14:paraId="05FB44ED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Nr. 6.756.</w:t>
      </w:r>
    </w:p>
    <w:p w14:paraId="138FECB3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3785623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ANEXĂ</w:t>
      </w:r>
    </w:p>
    <w:p w14:paraId="0A8D3EA8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67A96083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METODOLOGIE</w:t>
      </w:r>
    </w:p>
    <w:p w14:paraId="67E8653E" w14:textId="2D44FCC9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privind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depășirea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efectivelor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formațiunilor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antepreșcolari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preșcolari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unitățile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</w:t>
      </w:r>
    </w:p>
    <w:p w14:paraId="5980EBB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1DEBBE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CAPITOLUL I</w:t>
      </w:r>
    </w:p>
    <w:p w14:paraId="18DBFF5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Dispoziţii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generale</w:t>
      </w:r>
    </w:p>
    <w:p w14:paraId="4ADE6AD7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51B59E95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1</w:t>
      </w:r>
    </w:p>
    <w:p w14:paraId="3F91AA39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Prezenta metodologie reglementează la nivelul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organizarea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studiu cu mai mult de 2 beneficiari peste efectivul maxim prevăzut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(1) din Legea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învăţământului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nr. 198/2023, cu modificările ulterioare.</w:t>
      </w:r>
    </w:p>
    <w:p w14:paraId="523C1C5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2</w:t>
      </w:r>
    </w:p>
    <w:p w14:paraId="6718AC1E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La nivelul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stat,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formaţiunile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studiu se constituie în conformitate cu prevederile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(1)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(2)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248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(16) din Legea nr. 198/2023, cu modificările ulterioare.</w:t>
      </w:r>
    </w:p>
    <w:p w14:paraId="388FEBA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450C0C3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CAPITOLUL II</w:t>
      </w:r>
    </w:p>
    <w:p w14:paraId="28FFB0D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Aprobarea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depăşirii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diminuării efectivelor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formaţiunilor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antepreşcolari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preşcolari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unităţile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 cu cel mult 2 beneficiari de către inspectoratele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şcolare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judeţene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/Inspectoratul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Şcolar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al Municipiului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Bucureşti</w:t>
      </w:r>
      <w:proofErr w:type="spellEnd"/>
    </w:p>
    <w:p w14:paraId="742EE956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46BA76E9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3</w:t>
      </w:r>
    </w:p>
    <w:p w14:paraId="7A70AD6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(1)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Unităţile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pot solicita inspectoratelor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judeţene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/Inspectoratului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Municipiului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Bucureşti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denumite în continuare ISJ/ISMB, în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excepţionale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în baza unei justificări a consiliului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suplimentarea cu cel mult 2 beneficiari peste efectivul maxim sau, după caz, diminuarea cu cel mult 2 beneficiari sub efectivul minim prevăzut de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(1) din Legea nr. 198/2023, cu modificările ulterioare.</w:t>
      </w:r>
    </w:p>
    <w:p w14:paraId="4FB9EDD6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(2) Constituie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excepţionale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pentru care se poate aproba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funcţionarea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formaţiunilor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studiu cu efective mai mari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faţă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cele prevăzute în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Legea nr. 198/2023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, cu modificările ulterioare, următoarele:</w:t>
      </w:r>
    </w:p>
    <w:p w14:paraId="2AE61046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a) revenirea din străinătate a elevilor/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preşcolarilor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circumscripţia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unei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care efectivele la clasă/grupă sunt la nivelul maxim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nu se pot reorganiza colectivele de elevi/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timpul anului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70B05A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b) transferul elevilor/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preşcolarilor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ca urmare a schimbării domiciliului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părinţilor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circumscripţia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unei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care efectivele la clasă/grupă sunt la nivelul maxim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nu se pot reorganiza colectivele de elevi/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preşcolari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timpul anului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CE3ADCE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c) lipsa resursei umane necesare pentru suplimentarea planului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şcolarizare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258F9A25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d) asigurarea dreptului la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educaţie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copiilor/elevilor care nu pot dovedi cu documente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existenţa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domiciliului;</w:t>
      </w:r>
    </w:p>
    <w:p w14:paraId="11193CE9" w14:textId="5DCBC755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e) alte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situaţii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care nu pot fi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soluționate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prin încadrarea în numărul maxim de beneficiari prevăzut de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Legea nr. 198/2023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, cu modificările ulterioare.</w:t>
      </w:r>
    </w:p>
    <w:p w14:paraId="1042645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(3) Consiliul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administraţie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ISJ/ISMB aprobă sau respinge solicitările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unităţilor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învăţământ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stat, în urma analizei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documentaţiei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transmise de către acestea, precum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 motivării solicitărilor.</w:t>
      </w:r>
    </w:p>
    <w:p w14:paraId="5E10A2E4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4</w:t>
      </w:r>
    </w:p>
    <w:p w14:paraId="3F45E8A2" w14:textId="76AE4456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(1)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Documentația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transmisă de conducerea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către ISJ/ISMB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conține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77FA6697" w14:textId="1EFB773B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a) cererea formulată de unitatea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5C3EA398" w14:textId="1A76682D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b) hotărârea consiliului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6A16D80E" w14:textId="270C98DB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c) procesul-verbal al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şedinţei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;</w:t>
      </w:r>
    </w:p>
    <w:p w14:paraId="096B8920" w14:textId="0B9610C9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d) descrierea completă 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argumentarea că aceasta reprezintă o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situaţie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excepţională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că aprobarea acesteia nu va genera nicio formă de segregare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şcolară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pe criteriile prevăzute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79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(3) din Legea nr. 198/2023, cu modificările ulterioare;</w:t>
      </w:r>
    </w:p>
    <w:p w14:paraId="7D7843A6" w14:textId="7593614B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e) date referitoare la numărul de grupe/clase existente aferente anului de studiu pentru care se realizează solicitarea, numărul de copii/elevi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existenți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fiecare grupă/clasă, în conformitate cu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informațiile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înregistrate în Sistemul informatic integrat al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învățământului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din România (SIIIR),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capacitatea fiecărei săli de grupă/clasă;</w:t>
      </w:r>
    </w:p>
    <w:p w14:paraId="09C82BE6" w14:textId="5A8BA7D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f) cererea motivată a părintelui/reprezentantului legal, dacă aceasta este baza solicitării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F48BBF1" w14:textId="1DF0CF9D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(2) În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aprobării unor suplimentări, conform alin. (1), ISJ/ISMB au/are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obligația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a informa autoritatea publică locală în vederea asigurării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finanțării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045EFEE5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(3) În termen de 5 zile de la aprobare, la nivelul ISJ/ISMB se operează modificările în SIIIR.</w:t>
      </w:r>
    </w:p>
    <w:p w14:paraId="4B6551B6" w14:textId="797276D0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(4)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care ISJ/ISMB constată că la nivelul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există grupe/clase paralele care permit cuprinderea copiilor/elevilor pentru care s-a făcut solicitarea în cadrul acestora în limita maximă prevăzută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23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(1) din Legea nr. 198/2023, cu modificările ulterioare, nu vor fi considerate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excepționale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pentru care să fie nevoie de aprobare a ISJ/ISMB în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condițiile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prezentei metodologii.</w:t>
      </w:r>
    </w:p>
    <w:p w14:paraId="08FC87A4" w14:textId="0B77BE1A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(5) Fac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excepție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la prevederile alin. (4) grupele/clasele paralele care se regăsesc în unitatea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personalitate juridică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structurile arondate acesteia ori în două sau mai multe structuri, în cazul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personalitate juridică din mediul rural, respectiv în cazul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personalitate juridică din mediul urban unice la nivel de localitate.</w:t>
      </w:r>
    </w:p>
    <w:p w14:paraId="5AEC4DD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3673BC0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CAPITOLUL III</w:t>
      </w:r>
    </w:p>
    <w:p w14:paraId="110025FE" w14:textId="5936F5E4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Aprobarea de către Ministerul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Educației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a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depășirii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limitelor maxime aprobate de către ISJ/ISMB pentru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formațiunile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proofErr w:type="spellStart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antepreşcolari</w:t>
      </w:r>
      <w:proofErr w:type="spellEnd"/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,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preșcolari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sau elevi din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unitățile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preuniversitar de stat</w:t>
      </w:r>
    </w:p>
    <w:p w14:paraId="4DBE3A85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15D7D177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5</w:t>
      </w:r>
    </w:p>
    <w:p w14:paraId="138B9135" w14:textId="383F29A5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Ministerul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Educației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poate aproba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funcționarea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formațiunilor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studiu cu efective mai mari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faţă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cele aprobate de către ISJ/ISMB, astfel:</w:t>
      </w:r>
    </w:p>
    <w:p w14:paraId="6C4E62F6" w14:textId="6E5138E3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educația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timpurie, nivel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antepreşcolar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:</w:t>
      </w:r>
    </w:p>
    <w:p w14:paraId="163766DD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(i) grupa mică, mai mult de 11;</w:t>
      </w:r>
    </w:p>
    <w:p w14:paraId="6671EA8C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(ii) grupa mijlocie, mai mult de 17;</w:t>
      </w:r>
    </w:p>
    <w:p w14:paraId="3B3FFAE4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(iii) grupa mare, mai mult de 22;</w:t>
      </w:r>
    </w:p>
    <w:p w14:paraId="2088C43D" w14:textId="4D07B675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b)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educația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timpurie, nivel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preșcolar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, mai mult de 22;</w:t>
      </w:r>
    </w:p>
    <w:p w14:paraId="39DD0F9C" w14:textId="6FCD8E1C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primar, mai mult de 24;</w:t>
      </w:r>
    </w:p>
    <w:p w14:paraId="70AC9708" w14:textId="78AACBEF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d)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gimnazial, mai mult de 28;</w:t>
      </w:r>
    </w:p>
    <w:p w14:paraId="282AF310" w14:textId="0477DD80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e)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sportiv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artă, mai mult de 26;</w:t>
      </w:r>
    </w:p>
    <w:p w14:paraId="12BB68AF" w14:textId="13FCAFCC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f)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liceal, inclusiv dual, mai mult de 28;</w:t>
      </w:r>
    </w:p>
    <w:p w14:paraId="3AABBA12" w14:textId="37F38A2C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g)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postliceal, mai mult de 30;</w:t>
      </w:r>
    </w:p>
    <w:p w14:paraId="690E1CBA" w14:textId="038E02FD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h)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special:</w:t>
      </w:r>
    </w:p>
    <w:p w14:paraId="5D7103C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(i)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antepreşcolari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sprijin de nivel I - II, mai mult de 9;</w:t>
      </w:r>
    </w:p>
    <w:p w14:paraId="53A9EA7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(ii) beneficiari primari cu sprijin special de nivel I - II, mai mult de 10;</w:t>
      </w:r>
    </w:p>
    <w:p w14:paraId="3893B709" w14:textId="32A12812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(iii)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antepreşcolari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deficiențe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grave de dezvoltare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preșcolari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sprijin special de nivel III - IV, mai mult de 7;</w:t>
      </w:r>
    </w:p>
    <w:p w14:paraId="15E1A0C6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(iv) beneficiari primari cu sprijin special de nivel III - IV, mai mult de 8;</w:t>
      </w:r>
    </w:p>
    <w:p w14:paraId="0BE190DE" w14:textId="765436B9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i)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tehnologic special pentru elevi cu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deficiențe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ușoare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>/sau moderate, mai mult de 14.</w:t>
      </w:r>
    </w:p>
    <w:p w14:paraId="677F4C5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6</w:t>
      </w:r>
    </w:p>
    <w:p w14:paraId="199FBE0F" w14:textId="659BC111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(1)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excepționale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prevăzute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3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(2) în care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solicită ISJ/ISMB aprobarea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funcționării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grupelor/claselor cu efective în conformitate cu prevederile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având la bază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documentația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prevăzută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4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(1), ISJ/ISMB transmit/transmite Ministerului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Educației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o solicitare în care se precizează pentru fiecare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numărul de locuri solicitate peste efectivele prevăzute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însoțită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de:</w:t>
      </w:r>
    </w:p>
    <w:p w14:paraId="204AF7E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a) o notă de fundamentare care să cuprindă:</w:t>
      </w:r>
    </w:p>
    <w:p w14:paraId="77142F94" w14:textId="5EAB4573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(i) descrierea detaliată a fiecărei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argumentarea că fiecare dintre aceste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reprezintă o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excepțională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că aprobarea acestora nu va genera nicio formă de segregare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școlară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pe criteriile prevăzute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79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(3) din Legea nr. 198/2023, cu modificările ulterioare;</w:t>
      </w:r>
    </w:p>
    <w:p w14:paraId="5C722D7C" w14:textId="3B06EC43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(ii) pentru fiecare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date referitoare la numărul de grupe/clase existente, aferente anului de studiu pentru care se realizează solicitarea, numărul de copii/elevi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existenți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fiecare grupă/clasă, în conformitate cu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informațiile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înregistrate în Sistemul informatic integrat al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învățământului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din România (SIIIR), numărul de locuri solicitate peste efectivele prevăzute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proofErr w:type="spellStart"/>
      <w:r w:rsidRPr="0066236C">
        <w:rPr>
          <w:rFonts w:ascii="Times New Roman" w:hAnsi="Times New Roman" w:cs="Times New Roman"/>
          <w:kern w:val="0"/>
          <w:sz w:val="24"/>
          <w:szCs w:val="24"/>
        </w:rPr>
        <w:t>şi</w:t>
      </w:r>
      <w:proofErr w:type="spellEnd"/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capacitatea fiecărei săli de grupă/clasă;</w:t>
      </w:r>
    </w:p>
    <w:p w14:paraId="2347DD78" w14:textId="65CBF52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b) procesul-verbal al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ședinței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ISJ/ISMB în cadrul căreia au fost analizate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respective.</w:t>
      </w:r>
    </w:p>
    <w:p w14:paraId="1707FBE5" w14:textId="5DA07C25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(2) La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ședința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consiliului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administrație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ISJ/ISMB în cadrul căreia sunt analizate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excepționale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care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unitățile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de stat solicită ISJ/ISMB aprobarea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funcționării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grupelor/claselor cu efective în conformitate cu prevederile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5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având la bază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documentația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prevăzută la </w:t>
      </w:r>
      <w:r w:rsidRPr="0066236C">
        <w:rPr>
          <w:rFonts w:ascii="Times New Roman" w:hAnsi="Times New Roman" w:cs="Times New Roman"/>
          <w:color w:val="008000"/>
          <w:kern w:val="0"/>
          <w:sz w:val="24"/>
          <w:szCs w:val="24"/>
          <w:u w:val="single"/>
        </w:rPr>
        <w:t>art. 4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alin. (1), sunt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invitați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, obligatoriu, cu statut de observatori:</w:t>
      </w:r>
    </w:p>
    <w:p w14:paraId="2857359E" w14:textId="500324C2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-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reprezentanți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federațiilor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sindicale reprezentative din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(care au membri în unitatea respectivă);</w:t>
      </w:r>
    </w:p>
    <w:p w14:paraId="34B0B56E" w14:textId="63E4B996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- un reprezentant al structurilor asociative reprezentative ale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părinților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din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(care au membri în unitatea respectivă) sau un reprezentant al consiliului reprezentativ al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părinților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din unitatea respectivă;</w:t>
      </w:r>
    </w:p>
    <w:p w14:paraId="7A2D1E4A" w14:textId="2F048718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- un reprezentant al consiliului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județean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/consiliului municipiului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București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elevilor.</w:t>
      </w:r>
    </w:p>
    <w:p w14:paraId="2FEFFB37" w14:textId="784EBDC9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(3)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Direcția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resort din cadrul Ministerului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Educației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analizează solicitările de suplimentare, comparativ cu datele înregistrate în SIIIR,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comunică ISJ/ISMB aprobarea/respingerea solicitării, cu avizul secretarului de stat care are în coordonare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învățământul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preuniversitar.</w:t>
      </w:r>
    </w:p>
    <w:p w14:paraId="24852A0D" w14:textId="1523B875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(4) În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care se constată că prin aprobarea solicitării se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depășește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cifra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școlarizare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aprobată, Ministerul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Educației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comunică ISJ/ISMB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suplimentarea corespunzătoare a cifrei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școlarizare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23AAE9A0" w14:textId="7B4D5D85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lastRenderedPageBreak/>
        <w:t xml:space="preserve">    (5) Pentru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situațiile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suplimentare aprobate, ISJ/ISMB are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obligația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a informa autoritatea publică locală în vederea asigurării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finanțării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a opera respectivele suplimentări în SIIIR.</w:t>
      </w:r>
    </w:p>
    <w:p w14:paraId="6ED15BBD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0B95FD6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CAPITOLUL IV</w:t>
      </w:r>
    </w:p>
    <w:p w14:paraId="129E9074" w14:textId="48A6C561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</w:t>
      </w:r>
      <w:r w:rsidR="006F15CB"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>Dispoziții</w:t>
      </w:r>
      <w:r w:rsidRPr="0066236C">
        <w:rPr>
          <w:rFonts w:ascii="Times New Roman" w:hAnsi="Times New Roman" w:cs="Times New Roman"/>
          <w:b/>
          <w:bCs/>
          <w:kern w:val="0"/>
          <w:sz w:val="24"/>
          <w:szCs w:val="24"/>
        </w:rPr>
        <w:t xml:space="preserve"> finale</w:t>
      </w:r>
    </w:p>
    <w:p w14:paraId="6818616B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0A5E3751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7</w:t>
      </w:r>
    </w:p>
    <w:p w14:paraId="5B7CD20D" w14:textId="2CD1E35B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Pentru grupele/clasele în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funcțiune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în anul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2023 - 2024, efectivele de copii/elevi la grupă/clasă se stabilesc în baza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legislației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valabile la momentul constituirii grupelor/claselor respective, până la finalizarea nivelului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5E931C54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8</w:t>
      </w:r>
    </w:p>
    <w:p w14:paraId="4CB2BA07" w14:textId="7C55D5BB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Prevederile prezentei metodologii se aplică începând cu anul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2024 - 2025, gradual, pentru grupele/clasele de început de nivel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>.</w:t>
      </w:r>
    </w:p>
    <w:p w14:paraId="7F976D84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ART. 9</w:t>
      </w:r>
    </w:p>
    <w:p w14:paraId="6F514C06" w14:textId="59E4F442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În cuprinsul prezentei metodologii, începând cu data reorganizării inspectoratelor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județene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/Inspectoratului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Municipiului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București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, denumirea de "inspectorat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județean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/Inspectoratul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Școlar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al Municipiului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București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(ISJ/ISMB)" se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înlocuiește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cu denumirea "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direcție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județeană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preuniversitar/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Direcția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Municipiului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București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de </w:t>
      </w:r>
      <w:r w:rsidR="006F15CB" w:rsidRPr="0066236C">
        <w:rPr>
          <w:rFonts w:ascii="Times New Roman" w:hAnsi="Times New Roman" w:cs="Times New Roman"/>
          <w:kern w:val="0"/>
          <w:sz w:val="24"/>
          <w:szCs w:val="24"/>
        </w:rPr>
        <w:t>Învățământ</w:t>
      </w: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Preuniversitar (DJIP/DMBIP)".</w:t>
      </w:r>
    </w:p>
    <w:p w14:paraId="1CDE71C0" w14:textId="77777777" w:rsidR="0066236C" w:rsidRPr="0066236C" w:rsidRDefault="0066236C" w:rsidP="006623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</w:rPr>
      </w:pPr>
    </w:p>
    <w:p w14:paraId="7E7E9470" w14:textId="1CBE9810" w:rsidR="00000000" w:rsidRPr="0066236C" w:rsidRDefault="0066236C" w:rsidP="0066236C">
      <w:pPr>
        <w:jc w:val="both"/>
        <w:rPr>
          <w:rFonts w:ascii="Times New Roman" w:hAnsi="Times New Roman" w:cs="Times New Roman"/>
          <w:sz w:val="24"/>
          <w:szCs w:val="24"/>
        </w:rPr>
      </w:pPr>
      <w:r w:rsidRPr="0066236C">
        <w:rPr>
          <w:rFonts w:ascii="Times New Roman" w:hAnsi="Times New Roman" w:cs="Times New Roman"/>
          <w:kern w:val="0"/>
          <w:sz w:val="24"/>
          <w:szCs w:val="24"/>
        </w:rPr>
        <w:t xml:space="preserve">                              ---------------</w:t>
      </w:r>
    </w:p>
    <w:sectPr w:rsidR="00DF5A7D" w:rsidRPr="0066236C" w:rsidSect="008044A4">
      <w:pgSz w:w="11906" w:h="16838" w:code="9"/>
      <w:pgMar w:top="810" w:right="746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24D"/>
    <w:rsid w:val="0010124D"/>
    <w:rsid w:val="00101CC8"/>
    <w:rsid w:val="003870DD"/>
    <w:rsid w:val="0066236C"/>
    <w:rsid w:val="006F15CB"/>
    <w:rsid w:val="008044A4"/>
    <w:rsid w:val="00870F2B"/>
    <w:rsid w:val="00A04642"/>
    <w:rsid w:val="00A911DB"/>
    <w:rsid w:val="00BF0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EB0B"/>
  <w15:chartTrackingRefBased/>
  <w15:docId w15:val="{A0DDFB00-9359-4D1F-B44E-15E9DE098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24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24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24D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24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24D"/>
    <w:rPr>
      <w:rFonts w:eastAsiaTheme="majorEastAsia" w:cstheme="majorBidi"/>
      <w:color w:val="2F5496" w:themeColor="accent1" w:themeShade="BF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24D"/>
    <w:rPr>
      <w:rFonts w:eastAsiaTheme="majorEastAsia" w:cstheme="majorBidi"/>
      <w:i/>
      <w:iCs/>
      <w:color w:val="2F5496" w:themeColor="accent1" w:themeShade="BF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24D"/>
    <w:rPr>
      <w:rFonts w:eastAsiaTheme="majorEastAsia" w:cstheme="majorBidi"/>
      <w:color w:val="2F5496" w:themeColor="accent1" w:themeShade="BF"/>
      <w:lang w:val="ro-R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24D"/>
    <w:rPr>
      <w:rFonts w:eastAsiaTheme="majorEastAsia" w:cstheme="majorBidi"/>
      <w:i/>
      <w:iCs/>
      <w:color w:val="595959" w:themeColor="text1" w:themeTint="A6"/>
      <w:lang w:val="ro-R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24D"/>
    <w:rPr>
      <w:rFonts w:eastAsiaTheme="majorEastAsia" w:cstheme="majorBidi"/>
      <w:color w:val="595959" w:themeColor="text1" w:themeTint="A6"/>
      <w:lang w:val="ro-R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24D"/>
    <w:rPr>
      <w:rFonts w:eastAsiaTheme="majorEastAsia" w:cstheme="majorBidi"/>
      <w:i/>
      <w:iCs/>
      <w:color w:val="272727" w:themeColor="text1" w:themeTint="D8"/>
      <w:lang w:val="ro-R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24D"/>
    <w:rPr>
      <w:rFonts w:eastAsiaTheme="majorEastAsia" w:cstheme="majorBidi"/>
      <w:color w:val="272727" w:themeColor="text1" w:themeTint="D8"/>
      <w:lang w:val="ro-RO"/>
    </w:rPr>
  </w:style>
  <w:style w:type="paragraph" w:styleId="Title">
    <w:name w:val="Title"/>
    <w:basedOn w:val="Normal"/>
    <w:next w:val="Normal"/>
    <w:link w:val="TitleChar"/>
    <w:uiPriority w:val="10"/>
    <w:qFormat/>
    <w:rsid w:val="00101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24D"/>
    <w:rPr>
      <w:rFonts w:asciiTheme="majorHAnsi" w:eastAsiaTheme="majorEastAsia" w:hAnsiTheme="majorHAnsi" w:cstheme="majorBidi"/>
      <w:spacing w:val="-10"/>
      <w:kern w:val="28"/>
      <w:sz w:val="56"/>
      <w:szCs w:val="56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24D"/>
    <w:rPr>
      <w:rFonts w:eastAsiaTheme="majorEastAsia" w:cstheme="majorBidi"/>
      <w:color w:val="595959" w:themeColor="text1" w:themeTint="A6"/>
      <w:spacing w:val="15"/>
      <w:sz w:val="28"/>
      <w:szCs w:val="28"/>
      <w:lang w:val="ro-RO"/>
    </w:rPr>
  </w:style>
  <w:style w:type="paragraph" w:styleId="Quote">
    <w:name w:val="Quote"/>
    <w:basedOn w:val="Normal"/>
    <w:next w:val="Normal"/>
    <w:link w:val="QuoteChar"/>
    <w:uiPriority w:val="29"/>
    <w:qFormat/>
    <w:rsid w:val="00101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24D"/>
    <w:rPr>
      <w:i/>
      <w:iCs/>
      <w:color w:val="404040" w:themeColor="text1" w:themeTint="BF"/>
      <w:lang w:val="ro-RO"/>
    </w:rPr>
  </w:style>
  <w:style w:type="paragraph" w:styleId="ListParagraph">
    <w:name w:val="List Paragraph"/>
    <w:basedOn w:val="Normal"/>
    <w:uiPriority w:val="34"/>
    <w:qFormat/>
    <w:rsid w:val="00101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24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24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24D"/>
    <w:rPr>
      <w:i/>
      <w:iCs/>
      <w:color w:val="2F5496" w:themeColor="accent1" w:themeShade="BF"/>
      <w:lang w:val="ro-RO"/>
    </w:rPr>
  </w:style>
  <w:style w:type="character" w:styleId="IntenseReference">
    <w:name w:val="Intense Reference"/>
    <w:basedOn w:val="DefaultParagraphFont"/>
    <w:uiPriority w:val="32"/>
    <w:qFormat/>
    <w:rsid w:val="0010124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1752</Words>
  <Characters>9990</Characters>
  <Application>Microsoft Office Word</Application>
  <DocSecurity>0</DocSecurity>
  <Lines>83</Lines>
  <Paragraphs>23</Paragraphs>
  <ScaleCrop>false</ScaleCrop>
  <Company/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4</cp:revision>
  <dcterms:created xsi:type="dcterms:W3CDTF">2024-03-26T08:47:00Z</dcterms:created>
  <dcterms:modified xsi:type="dcterms:W3CDTF">2024-03-26T08:55:00Z</dcterms:modified>
</cp:coreProperties>
</file>